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40" w:before="240" w:lineRule="auto"/>
        <w:jc w:val="center"/>
        <w:rPr>
          <w:sz w:val="36"/>
          <w:szCs w:val="36"/>
        </w:rPr>
      </w:pPr>
      <w:bookmarkStart w:colFirst="0" w:colLast="0" w:name="_dtax6z5s8e0w" w:id="0"/>
      <w:bookmarkEnd w:id="0"/>
      <w:r w:rsidDel="00000000" w:rsidR="00000000" w:rsidRPr="00000000">
        <w:rPr>
          <w:sz w:val="36"/>
          <w:szCs w:val="36"/>
          <w:rtl w:val="0"/>
        </w:rPr>
        <w:t xml:space="preserve">How to Use the "Imaging Facility Guidelines for Acknowledgement"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Imaging facilities and technical staff are often at the heart of scientific discovery, and we encourage everyone to acknowledge them appropriately!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These Guidelines are based on a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longer core facility recognition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policy</w:t>
        </w:r>
      </w:hyperlink>
      <w:r w:rsidDel="00000000" w:rsidR="00000000" w:rsidRPr="00000000">
        <w:rPr>
          <w:rtl w:val="0"/>
        </w:rPr>
        <w:t xml:space="preserve"> originally written by Natasha Stephens after discussions with the </w:t>
      </w:r>
      <w:r w:rsidDel="00000000" w:rsidR="00000000" w:rsidRPr="00000000">
        <w:rPr>
          <w:rtl w:val="0"/>
        </w:rPr>
        <w:t xml:space="preserve">RMS Electron Microscopy - United Kingdom and Ireland (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EM-UK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I</w:t>
        </w:r>
      </w:hyperlink>
      <w:r w:rsidDel="00000000" w:rsidR="00000000" w:rsidRPr="00000000">
        <w:rPr>
          <w:rtl w:val="0"/>
        </w:rPr>
        <w:t xml:space="preserve">) community. They were then adapted into a poster by a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BioImagingUK</w:t>
        </w:r>
      </w:hyperlink>
      <w:r w:rsidDel="00000000" w:rsidR="00000000" w:rsidRPr="00000000">
        <w:rPr>
          <w:rtl w:val="0"/>
        </w:rPr>
        <w:t xml:space="preserve"> working group composed of Jemima Burden (UCL), Maddy Parsons (KCL), Jessica Valli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color w:val="1f1f1f"/>
          <w:highlight w:val="white"/>
          <w:rtl w:val="0"/>
        </w:rPr>
        <w:t xml:space="preserve">Heriot-Watt University)</w:t>
      </w:r>
      <w:r w:rsidDel="00000000" w:rsidR="00000000" w:rsidRPr="00000000">
        <w:rPr>
          <w:rtl w:val="0"/>
        </w:rPr>
        <w:t xml:space="preserve"> , an</w:t>
      </w:r>
      <w:r w:rsidDel="00000000" w:rsidR="00000000" w:rsidRPr="00000000">
        <w:rPr>
          <w:rtl w:val="0"/>
        </w:rPr>
        <w:t xml:space="preserve">d Daniel Soong (University of Edinburgh).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Inspired by the potential to drive institutional change in recognizing the invaluable contributions of imaging facilities to scientific publications and grant applications, the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Global Bioimaging</w:t>
        </w:r>
      </w:hyperlink>
      <w:r w:rsidDel="00000000" w:rsidR="00000000" w:rsidRPr="00000000">
        <w:rPr>
          <w:rtl w:val="0"/>
        </w:rPr>
        <w:t xml:space="preserve"> community is providing translations in an increasing number of languages. If you would like to contribute an additional translation, this would be appreciated. Please send us your translated version to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globalbioimaging@embl.de</w:t>
        </w:r>
      </w:hyperlink>
      <w:r w:rsidDel="00000000" w:rsidR="00000000" w:rsidRPr="00000000">
        <w:rPr>
          <w:rtl w:val="0"/>
        </w:rPr>
        <w:t xml:space="preserve"> and we will provide the final layout and share 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We encourage everyone to use the Guidelines in their facilities in whatever language works best in your local context and share them widely - print and display them in your facilities, and help raise awareness among your colleagues.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You can use any language version of the posters as it is. Alternatively, you can ad</w:t>
      </w:r>
      <w:r w:rsidDel="00000000" w:rsidR="00000000" w:rsidRPr="00000000">
        <w:rPr>
          <w:rtl w:val="0"/>
        </w:rPr>
        <w:t xml:space="preserve">d your institution’s or organization’s logo</w:t>
      </w:r>
      <w:r w:rsidDel="00000000" w:rsidR="00000000" w:rsidRPr="00000000">
        <w:rPr>
          <w:rtl w:val="0"/>
        </w:rPr>
        <w:t xml:space="preserve"> at the bottom of the poster to show your support, provided this is approved by the responsible persons within the institution or organisation.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Do not change the main text and table of the poster and the poster header. 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If you are interested in preparing specific adapted versions for other facility types or subgroups, please contact us at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globalbioimaging@embl.de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globalbioimaging.org" TargetMode="External"/><Relationship Id="rId10" Type="http://schemas.openxmlformats.org/officeDocument/2006/relationships/hyperlink" Target="https://www.rms.org.uk/community/networks-affiliates/bioimaginguk-network.html" TargetMode="External"/><Relationship Id="rId13" Type="http://schemas.openxmlformats.org/officeDocument/2006/relationships/hyperlink" Target="mailto:globalbioimaging@embl.de" TargetMode="External"/><Relationship Id="rId12" Type="http://schemas.openxmlformats.org/officeDocument/2006/relationships/hyperlink" Target="mailto:globalbioimaging@embl.d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rms.org.uk/community/networks-affiliates/em-uk.html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rms.org.uk/library/core-facilities-publication-policy.html" TargetMode="External"/><Relationship Id="rId7" Type="http://schemas.openxmlformats.org/officeDocument/2006/relationships/hyperlink" Target="https://www.rms.org.uk/library/core-facilities-publication-policy.html" TargetMode="External"/><Relationship Id="rId8" Type="http://schemas.openxmlformats.org/officeDocument/2006/relationships/hyperlink" Target="https://www.rms.org.uk/community/networks-affiliates/em-u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